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mylne"/>
        <w:tabs>
          <w:tab w:val="clear" w:pos="720"/>
          <w:tab w:val="left" w:pos="6804" w:leader="none"/>
          <w:tab w:val="left" w:pos="7088" w:leader="none"/>
          <w:tab w:val="left" w:pos="7788" w:leader="none"/>
          <w:tab w:val="left" w:pos="8496" w:leader="none"/>
          <w:tab w:val="left" w:pos="9204" w:leader="none"/>
        </w:tabs>
        <w:bidi w:val="0"/>
        <w:spacing w:lineRule="auto" w:line="360"/>
        <w:ind w:left="0" w:right="566" w:hanging="0"/>
        <w:jc w:val="left"/>
        <w:rPr>
          <w:rFonts w:ascii="Times New Roman" w:hAnsi="Times New Roman" w:eastAsia="Times New Roman" w:cs="Times New Roman"/>
          <w:b/>
          <w:b/>
          <w:bCs/>
          <w:sz w:val="28"/>
          <w:szCs w:val="28"/>
        </w:rPr>
      </w:pPr>
      <w:r>
        <w:rPr>
          <w:rFonts w:ascii="Tahoma" w:hAnsi="Tahoma"/>
          <w:b/>
          <w:bCs/>
          <w:sz w:val="22"/>
          <w:szCs w:val="22"/>
          <w:lang w:val="pl-PL"/>
        </w:rPr>
        <w:t>DWUDZIESTA DZIEWIĄTA NIEDZIELA W CIĄGU ROKU</w:t>
        <w:tab/>
        <w:t xml:space="preserve">   </w:t>
      </w:r>
    </w:p>
    <w:p>
      <w:pPr>
        <w:pStyle w:val="Domylne"/>
        <w:tabs>
          <w:tab w:val="clear" w:pos="720"/>
          <w:tab w:val="left" w:pos="6804" w:leader="none"/>
          <w:tab w:val="left" w:pos="7088" w:leader="none"/>
          <w:tab w:val="left" w:pos="7788" w:leader="none"/>
          <w:tab w:val="left" w:pos="8496" w:leader="none"/>
          <w:tab w:val="left" w:pos="9204" w:leader="none"/>
        </w:tabs>
        <w:bidi w:val="0"/>
        <w:spacing w:lineRule="auto" w:line="360"/>
        <w:ind w:left="0" w:right="566" w:hanging="0"/>
        <w:jc w:val="left"/>
        <w:rPr>
          <w:rFonts w:ascii="Times New Roman" w:hAnsi="Times New Roman" w:eastAsia="Times New Roman" w:cs="Times New Roman"/>
          <w:b/>
          <w:b/>
          <w:bCs/>
          <w:sz w:val="28"/>
          <w:szCs w:val="28"/>
        </w:rPr>
      </w:pPr>
      <w:r>
        <w:rPr>
          <w:rFonts w:ascii="Tahoma" w:hAnsi="Tahoma"/>
          <w:b/>
          <w:bCs/>
          <w:sz w:val="22"/>
          <w:szCs w:val="22"/>
          <w:lang w:val="pl-PL"/>
        </w:rPr>
        <w:t xml:space="preserve"> </w:t>
      </w:r>
      <w:r>
        <w:rPr>
          <w:rFonts w:ascii="Tahoma" w:hAnsi="Tahoma"/>
          <w:b/>
          <w:bCs/>
          <w:sz w:val="22"/>
          <w:szCs w:val="22"/>
          <w:lang w:val="pl-PL"/>
        </w:rPr>
        <w:t>20 października 2019</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360"/>
        <w:ind w:left="0" w:right="566" w:hanging="0"/>
        <w:jc w:val="left"/>
        <w:rPr>
          <w:rFonts w:ascii="Times New Roman" w:hAnsi="Times New Roman" w:eastAsia="Times New Roman" w:cs="Times New Roman"/>
          <w:b/>
          <w:b/>
          <w:bCs/>
          <w:sz w:val="28"/>
          <w:szCs w:val="28"/>
        </w:rPr>
      </w:pPr>
      <w:r>
        <w:rPr>
          <w:rFonts w:ascii="Tahoma" w:hAnsi="Tahoma"/>
          <w:b/>
          <w:bCs/>
          <w:sz w:val="22"/>
          <w:szCs w:val="22"/>
          <w:lang w:val="pl-PL"/>
        </w:rPr>
        <w:t>OGŁOSZENIA DUSZPASTERSKIE</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59" w:before="0" w:after="160"/>
        <w:ind w:left="0" w:right="566" w:hanging="0"/>
        <w:jc w:val="both"/>
        <w:rPr>
          <w:rFonts w:ascii="Times New Roman" w:hAnsi="Times New Roman" w:eastAsia="Times New Roman" w:cs="Times New Roman"/>
          <w:sz w:val="28"/>
          <w:szCs w:val="28"/>
        </w:rPr>
      </w:pPr>
      <w:r>
        <w:rPr>
          <w:rFonts w:ascii="Tahoma" w:hAnsi="Tahoma"/>
          <w:sz w:val="22"/>
          <w:szCs w:val="22"/>
          <w:lang w:val="pl-PL"/>
        </w:rPr>
        <w:t xml:space="preserve">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1. „Czy Syn Człowieczy znajdzie wiarę na ziemi, gdy przyjdzie?” – pytanie wybrzmiewające w dzisiejszą niedzielę może znaleźć wiele odpowiedzi. Ostatecznie sprowadza się jednak do pytania o naszą duchową kondycję. Podejmujmy nieustannie trud gotowości na spotkanie z Panem.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 xml:space="preserve">2.  Rozpoczęliśmy dzisiaj w Kościele Tydzień Misyjny. Wpisuje się on w trwający w Kościele nadzwyczajny miesiąc misyjny. Przypomnijmy, że został on ogłoszony przez papieża Franciszka dla uczczenia 100. rocznicy ukazania się misyjnej encykliki „Maximum illud” papieża Benedykta XV. Dla całego Kościoła ma to być czas zdecydowanego ożywienia naszego zapału do tego, by dzielić się wiarą i Chrystusem. To miesiąc misyjnego nawrócenia Kościoła. Niech więc intencje misyjne będą obecne w naszej modlitwie wspólnej i osobistej. Bóg zapłać za złożone dzisiaj ofiary na potrzeby misji.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3. We wtorek liturgiczne wspomnienie św. Jana Pawła II. Zapraszamy do udziału we Mszy Świętej o godz. 18.00 oraz do osobistego sięgania do duchowego dziedzictwa świętego papieża. Po Mszy świętej błogosławieństwo relikwiami  św. Papieża Polaka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4. Nowenna do Matki Bożej Niestającej Pomocy w środę o godz. 18.00.</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 xml:space="preserve">5. Zbliża się czas listopadowej modlitwy za zmarłych. Wychodząc ze świątyni, prosimy o zabranie kart wypominkowych.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6. Polecamy lekturę prasy katolickiej tygodnika „Niedziela” i dwumiesięcznika „Miłujcie się” oraz kalendarze dwustronne na rok 2020.</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7. Serdeczna życzenia kierujemy pod adresem jubilatów i solenizantów nowego tygodnia.  Składam serdeczne podziękowanie za złożone ofiary w ubiegłą niedzielę w wysokości 2662,70 PLN na fundusz remontowo budowlany. W tym roku, do świat Bożego Narodzenia chcemy zainstalować i poświęcić dwa nowe konfesjonały. Bardzo dziękuję za posprzątanie kościoła rodzinom- Janinie Zając, p. Cichockim, Kazimierze Zwolińskiej i Wandzie Pelczarskiej. W tym tygodniu bardzo proszę o posprzątanie świątyni kolejne rodziny z ulicy Pyrzyckiej.</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eastAsia="Times New Roman" w:cs="Times New Roman"/>
          <w:sz w:val="22"/>
          <w:szCs w:val="22"/>
          <w:lang w:val="pl-PL"/>
        </w:rPr>
      </w:pPr>
      <w:r>
        <w:rPr>
          <w:rFonts w:eastAsia="Times New Roman" w:cs="Times New Roman" w:ascii="Tahoma" w:hAnsi="Tahoma"/>
          <w:sz w:val="22"/>
          <w:szCs w:val="22"/>
          <w:lang w:val="pl-PL"/>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imes New Roman" w:hAnsi="Times New Roman" w:eastAsia="Times New Roman" w:cs="Times New Roman"/>
          <w:sz w:val="28"/>
          <w:szCs w:val="28"/>
        </w:rPr>
      </w:pPr>
      <w:r>
        <w:rPr>
          <w:rFonts w:ascii="Tahoma" w:hAnsi="Tahoma"/>
          <w:sz w:val="22"/>
          <w:szCs w:val="22"/>
          <w:lang w:val="pl-PL"/>
        </w:rPr>
        <w:t xml:space="preserve">8. W minionym tygodniu Pan Bóg powołał do wieczności śp. Józefa Junak, Nadię Kubiak i Adam Kluska.  </w:t>
      </w:r>
      <w:r>
        <w:rPr>
          <w:rFonts w:ascii="Tahoma" w:hAnsi="Tahoma"/>
          <w:i/>
          <w:iCs/>
          <w:sz w:val="22"/>
          <w:szCs w:val="22"/>
          <w:lang w:val="pl-PL"/>
        </w:rPr>
        <w:t>Wieczny odpoczynek…</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ind w:left="0" w:right="566" w:hanging="0"/>
        <w:jc w:val="both"/>
        <w:rPr>
          <w:rFonts w:ascii="Tahoma" w:hAnsi="Tahoma"/>
          <w:sz w:val="22"/>
          <w:szCs w:val="22"/>
          <w:lang w:val="pl-PL"/>
        </w:rPr>
      </w:pPr>
      <w:r>
        <w:rPr>
          <w:rFonts w:ascii="Tahoma" w:hAnsi="Tahoma"/>
          <w:sz w:val="22"/>
          <w:szCs w:val="22"/>
          <w:lang w:val="pl-PL"/>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Helvetica Neue">
    <w:charset w:val="ee"/>
    <w:family w:val="roman"/>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pl-PL"/>
      </w:rPr>
    </w:pPr>
    <w:r>
      <w:rPr>
        <w:lang w:val="pl-P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pl-PL"/>
      </w:rPr>
    </w:pPr>
    <w:r>
      <w:rPr>
        <w:lang w:val="pl-PL"/>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eastAsia="en-US" w:bidi="ar-SA" w:val="pl-PL"/>
    </w:rPr>
  </w:style>
  <w:style w:type="character" w:styleId="DefaultParagraphFont" w:default="1">
    <w:name w:val="Default Paragraph Font"/>
    <w:qFormat/>
    <w:rPr/>
  </w:style>
  <w:style w:type="character" w:styleId="Czeinternetowe">
    <w:name w:val="Łącze internetowe"/>
    <w:rPr>
      <w:u w:val="single" w:color="FFFFFF"/>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omylne">
    <w:name w:val="Domyślne"/>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pl-PL" w:eastAsia="zh-CN" w:bidi="hi-IN"/>
      <w14:textOutline>
        <w14:noFill/>
      </w14:textOutline>
      <w14:textFill>
        <w14:solidFill>
          <w14:srgbClr w14:val="000000"/>
        </w14:solidFill>
      </w14:textFill>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LibreOffice/6.3.1.2$Windows_X86_64 LibreOffice_project/b79626edf0065ac373bd1df5c28bd630b4424273</Application>
  <Pages>1</Pages>
  <Words>300</Words>
  <Characters>1840</Characters>
  <CharactersWithSpaces>2142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2019-10-20T20:51:15Z</dcterms:modified>
  <cp:revision>1</cp:revision>
  <dc:subject/>
  <dc:title/>
</cp:coreProperties>
</file>