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201" w:rsidRPr="007542D8" w:rsidRDefault="008F2201" w:rsidP="008F2201">
      <w:pPr>
        <w:rPr>
          <w:b/>
          <w:color w:val="000000" w:themeColor="text1"/>
        </w:rPr>
      </w:pPr>
      <w:r w:rsidRPr="007542D8">
        <w:rPr>
          <w:b/>
          <w:color w:val="000000" w:themeColor="text1"/>
        </w:rPr>
        <w:t xml:space="preserve">INFORMACJE O HISTORII PARAFII I KOŚCIOŁA W ZIEMOMYŚLU A </w:t>
      </w:r>
    </w:p>
    <w:p w:rsidR="008F2201" w:rsidRPr="007542D8" w:rsidRDefault="008F2201" w:rsidP="008F2201">
      <w:pPr>
        <w:rPr>
          <w:b/>
          <w:color w:val="000000" w:themeColor="text1"/>
        </w:rPr>
      </w:pPr>
    </w:p>
    <w:p w:rsidR="008F2201" w:rsidRPr="007542D8" w:rsidRDefault="008F2201" w:rsidP="008F2201">
      <w:pPr>
        <w:rPr>
          <w:b/>
          <w:color w:val="000000" w:themeColor="text1"/>
        </w:rPr>
      </w:pPr>
      <w:r w:rsidRPr="007542D8">
        <w:rPr>
          <w:b/>
          <w:color w:val="000000" w:themeColor="text1"/>
        </w:rPr>
        <w:t xml:space="preserve">Parafia Ziemomyśl od 1337/1339 r. objęta została działalnością bractwa </w:t>
      </w:r>
      <w:proofErr w:type="spellStart"/>
      <w:r w:rsidRPr="007542D8">
        <w:rPr>
          <w:b/>
          <w:color w:val="000000" w:themeColor="text1"/>
        </w:rPr>
        <w:t>kalendowego</w:t>
      </w:r>
      <w:proofErr w:type="spellEnd"/>
      <w:r w:rsidRPr="007542D8">
        <w:rPr>
          <w:b/>
          <w:color w:val="000000" w:themeColor="text1"/>
        </w:rPr>
        <w:t xml:space="preserve"> dla duchowieństwa „między Iną i Płonią”. W 1492 r. po śmierci Antoniego </w:t>
      </w:r>
      <w:proofErr w:type="spellStart"/>
      <w:r w:rsidRPr="007542D8">
        <w:rPr>
          <w:b/>
          <w:color w:val="000000" w:themeColor="text1"/>
        </w:rPr>
        <w:t>Tornowa</w:t>
      </w:r>
      <w:proofErr w:type="spellEnd"/>
      <w:r w:rsidRPr="007542D8">
        <w:rPr>
          <w:b/>
          <w:color w:val="000000" w:themeColor="text1"/>
        </w:rPr>
        <w:t xml:space="preserve"> na prezentację Piotra i Dionizego </w:t>
      </w:r>
      <w:proofErr w:type="spellStart"/>
      <w:r w:rsidRPr="007542D8">
        <w:rPr>
          <w:b/>
          <w:color w:val="000000" w:themeColor="text1"/>
        </w:rPr>
        <w:t>Blankensee</w:t>
      </w:r>
      <w:proofErr w:type="spellEnd"/>
      <w:r w:rsidRPr="007542D8">
        <w:rPr>
          <w:b/>
          <w:color w:val="000000" w:themeColor="text1"/>
        </w:rPr>
        <w:t xml:space="preserve"> proboszczem ustanowiono Piotra </w:t>
      </w:r>
      <w:proofErr w:type="spellStart"/>
      <w:r w:rsidRPr="007542D8">
        <w:rPr>
          <w:b/>
          <w:color w:val="000000" w:themeColor="text1"/>
        </w:rPr>
        <w:t>Hartwich</w:t>
      </w:r>
      <w:proofErr w:type="spellEnd"/>
      <w:r w:rsidRPr="007542D8">
        <w:rPr>
          <w:b/>
          <w:color w:val="000000" w:themeColor="text1"/>
        </w:rPr>
        <w:t xml:space="preserve">. Na początku XX w. kościół filialny parafii w Piaseczniku pod patronatem właściciela majątku. W 1907 r. poddano renowacji figurę Marii; prace wykonał rzeźbiarz </w:t>
      </w:r>
      <w:proofErr w:type="spellStart"/>
      <w:r w:rsidRPr="007542D8">
        <w:rPr>
          <w:b/>
          <w:color w:val="000000" w:themeColor="text1"/>
        </w:rPr>
        <w:t>Ehlert</w:t>
      </w:r>
      <w:proofErr w:type="spellEnd"/>
      <w:r w:rsidRPr="007542D8">
        <w:rPr>
          <w:b/>
          <w:color w:val="000000" w:themeColor="text1"/>
        </w:rPr>
        <w:t xml:space="preserve"> ze Szczecina. 30 czerwca 1917 r. zdjęto dwa dzwony celem przekazania na cele wojenne: pierwszy bez inskrypcji i dekoracji; drugi odlany w 1777 r. przez szczecińskiego ludwisarza Johanna Heinricha Scheela. W 1940 r. kościół w parafii Piasecznik pod patronatem Otto v. Bonin z Ziemomyśla A i Eleonory v. Bonin z Ziemomyśla B. W 1945 r. kościół częściowo zniszczony, a później zrujnowany. Wieś w parafii Dolice (Schematyzm 1973, 119; Diecezja 1984, 64; Schematyzm 1993, 74).</w:t>
      </w:r>
    </w:p>
    <w:p w:rsidR="008F2201" w:rsidRPr="007542D8" w:rsidRDefault="008F2201" w:rsidP="008F2201">
      <w:pPr>
        <w:pStyle w:val="Tekstpodstawowyzwciciem"/>
        <w:ind w:firstLine="709"/>
        <w:rPr>
          <w:b/>
          <w:color w:val="000000" w:themeColor="text1"/>
        </w:rPr>
      </w:pPr>
      <w:r w:rsidRPr="007542D8">
        <w:rPr>
          <w:b/>
          <w:color w:val="000000" w:themeColor="text1"/>
        </w:rPr>
        <w:t xml:space="preserve">Wśród dawnego wyposażenia znajdowały się: </w:t>
      </w:r>
    </w:p>
    <w:p w:rsidR="008F2201" w:rsidRPr="007542D8" w:rsidRDefault="008F2201" w:rsidP="008F2201">
      <w:pPr>
        <w:pStyle w:val="Tekstpodstawowyzwciciem"/>
        <w:ind w:firstLine="0"/>
        <w:rPr>
          <w:b/>
          <w:color w:val="000000" w:themeColor="text1"/>
        </w:rPr>
      </w:pPr>
      <w:r w:rsidRPr="007542D8">
        <w:rPr>
          <w:b/>
          <w:color w:val="000000" w:themeColor="text1"/>
        </w:rPr>
        <w:t xml:space="preserve">-dwie płyty nagrobne: </w:t>
      </w:r>
    </w:p>
    <w:p w:rsidR="008F2201" w:rsidRPr="007542D8" w:rsidRDefault="008F2201" w:rsidP="008F2201">
      <w:pPr>
        <w:pStyle w:val="Tekstpodstawowyzwciciem"/>
        <w:ind w:firstLine="709"/>
        <w:rPr>
          <w:b/>
          <w:color w:val="000000" w:themeColor="text1"/>
        </w:rPr>
      </w:pPr>
      <w:r w:rsidRPr="007542D8">
        <w:rPr>
          <w:b/>
          <w:color w:val="000000" w:themeColor="text1"/>
        </w:rPr>
        <w:t xml:space="preserve">1. </w:t>
      </w:r>
      <w:proofErr w:type="spellStart"/>
      <w:r w:rsidRPr="007542D8">
        <w:rPr>
          <w:b/>
          <w:color w:val="000000" w:themeColor="text1"/>
        </w:rPr>
        <w:t>Scholastiki</w:t>
      </w:r>
      <w:proofErr w:type="spellEnd"/>
      <w:r w:rsidRPr="007542D8">
        <w:rPr>
          <w:b/>
          <w:color w:val="000000" w:themeColor="text1"/>
        </w:rPr>
        <w:t xml:space="preserve"> von Wedel (†1602). (Płyta z wapienia, inskrypcja o treści: </w:t>
      </w:r>
      <w:proofErr w:type="spellStart"/>
      <w:r w:rsidRPr="007542D8">
        <w:rPr>
          <w:b/>
          <w:i/>
          <w:color w:val="000000" w:themeColor="text1"/>
        </w:rPr>
        <w:t>Scholastika</w:t>
      </w:r>
      <w:proofErr w:type="spellEnd"/>
      <w:r w:rsidRPr="007542D8">
        <w:rPr>
          <w:b/>
          <w:i/>
          <w:color w:val="000000" w:themeColor="text1"/>
        </w:rPr>
        <w:t xml:space="preserve"> von Wedel </w:t>
      </w:r>
      <w:proofErr w:type="spellStart"/>
      <w:r w:rsidRPr="007542D8">
        <w:rPr>
          <w:b/>
          <w:i/>
          <w:color w:val="000000" w:themeColor="text1"/>
        </w:rPr>
        <w:t>aus</w:t>
      </w:r>
      <w:proofErr w:type="spellEnd"/>
      <w:r w:rsidRPr="007542D8">
        <w:rPr>
          <w:b/>
          <w:i/>
          <w:color w:val="000000" w:themeColor="text1"/>
        </w:rPr>
        <w:t xml:space="preserve"> dem </w:t>
      </w:r>
      <w:proofErr w:type="spellStart"/>
      <w:r w:rsidRPr="007542D8">
        <w:rPr>
          <w:b/>
          <w:i/>
          <w:color w:val="000000" w:themeColor="text1"/>
        </w:rPr>
        <w:t>Hause</w:t>
      </w:r>
      <w:proofErr w:type="spellEnd"/>
      <w:r w:rsidRPr="007542D8">
        <w:rPr>
          <w:b/>
          <w:i/>
          <w:color w:val="000000" w:themeColor="text1"/>
        </w:rPr>
        <w:t xml:space="preserve"> </w:t>
      </w:r>
      <w:proofErr w:type="spellStart"/>
      <w:r w:rsidRPr="007542D8">
        <w:rPr>
          <w:b/>
          <w:i/>
          <w:color w:val="000000" w:themeColor="text1"/>
        </w:rPr>
        <w:t>Krempzow</w:t>
      </w:r>
      <w:proofErr w:type="spellEnd"/>
      <w:r w:rsidRPr="007542D8">
        <w:rPr>
          <w:b/>
          <w:i/>
          <w:color w:val="000000" w:themeColor="text1"/>
        </w:rPr>
        <w:t xml:space="preserve">, Antoni von </w:t>
      </w:r>
      <w:proofErr w:type="spellStart"/>
      <w:r w:rsidRPr="007542D8">
        <w:rPr>
          <w:b/>
          <w:i/>
          <w:color w:val="000000" w:themeColor="text1"/>
        </w:rPr>
        <w:t>Blankensee</w:t>
      </w:r>
      <w:proofErr w:type="spellEnd"/>
      <w:r w:rsidRPr="007542D8">
        <w:rPr>
          <w:b/>
          <w:i/>
          <w:color w:val="000000" w:themeColor="text1"/>
        </w:rPr>
        <w:t xml:space="preserve"> </w:t>
      </w:r>
      <w:proofErr w:type="spellStart"/>
      <w:r w:rsidRPr="007542D8">
        <w:rPr>
          <w:b/>
          <w:i/>
          <w:color w:val="000000" w:themeColor="text1"/>
        </w:rPr>
        <w:t>eheliche</w:t>
      </w:r>
      <w:proofErr w:type="spellEnd"/>
      <w:r w:rsidRPr="007542D8">
        <w:rPr>
          <w:b/>
          <w:i/>
          <w:color w:val="000000" w:themeColor="text1"/>
        </w:rPr>
        <w:t xml:space="preserve"> </w:t>
      </w:r>
      <w:proofErr w:type="spellStart"/>
      <w:r w:rsidRPr="007542D8">
        <w:rPr>
          <w:b/>
          <w:i/>
          <w:color w:val="000000" w:themeColor="text1"/>
        </w:rPr>
        <w:t>Hausfrawe</w:t>
      </w:r>
      <w:proofErr w:type="spellEnd"/>
      <w:r w:rsidRPr="007542D8">
        <w:rPr>
          <w:b/>
          <w:i/>
          <w:color w:val="000000" w:themeColor="text1"/>
        </w:rPr>
        <w:t xml:space="preserve"> † 19. </w:t>
      </w:r>
      <w:proofErr w:type="spellStart"/>
      <w:r w:rsidRPr="007542D8">
        <w:rPr>
          <w:b/>
          <w:i/>
          <w:color w:val="000000" w:themeColor="text1"/>
        </w:rPr>
        <w:t>Dez</w:t>
      </w:r>
      <w:proofErr w:type="spellEnd"/>
      <w:r w:rsidRPr="007542D8">
        <w:rPr>
          <w:b/>
          <w:i/>
          <w:color w:val="000000" w:themeColor="text1"/>
        </w:rPr>
        <w:t xml:space="preserve">. 1602, </w:t>
      </w:r>
      <w:proofErr w:type="spellStart"/>
      <w:r w:rsidRPr="007542D8">
        <w:rPr>
          <w:b/>
          <w:i/>
          <w:color w:val="000000" w:themeColor="text1"/>
        </w:rPr>
        <w:t>ihres</w:t>
      </w:r>
      <w:proofErr w:type="spellEnd"/>
      <w:r w:rsidRPr="007542D8">
        <w:rPr>
          <w:b/>
          <w:i/>
          <w:color w:val="000000" w:themeColor="text1"/>
        </w:rPr>
        <w:t xml:space="preserve"> </w:t>
      </w:r>
      <w:proofErr w:type="spellStart"/>
      <w:r w:rsidRPr="007542D8">
        <w:rPr>
          <w:b/>
          <w:i/>
          <w:color w:val="000000" w:themeColor="text1"/>
        </w:rPr>
        <w:t>Alters</w:t>
      </w:r>
      <w:proofErr w:type="spellEnd"/>
      <w:r w:rsidRPr="007542D8">
        <w:rPr>
          <w:b/>
          <w:i/>
          <w:color w:val="000000" w:themeColor="text1"/>
        </w:rPr>
        <w:t xml:space="preserve"> 68 </w:t>
      </w:r>
      <w:proofErr w:type="spellStart"/>
      <w:r w:rsidRPr="007542D8">
        <w:rPr>
          <w:b/>
          <w:i/>
          <w:color w:val="000000" w:themeColor="text1"/>
        </w:rPr>
        <w:t>Jahr</w:t>
      </w:r>
      <w:proofErr w:type="spellEnd"/>
      <w:r w:rsidRPr="007542D8">
        <w:rPr>
          <w:b/>
          <w:i/>
          <w:color w:val="000000" w:themeColor="text1"/>
        </w:rPr>
        <w:t>.</w:t>
      </w:r>
      <w:r w:rsidRPr="007542D8">
        <w:rPr>
          <w:b/>
          <w:color w:val="000000" w:themeColor="text1"/>
        </w:rPr>
        <w:t>;</w:t>
      </w:r>
    </w:p>
    <w:p w:rsidR="008F2201" w:rsidRPr="007542D8" w:rsidRDefault="008F2201" w:rsidP="008F2201">
      <w:pPr>
        <w:pStyle w:val="Tekstpodstawowyzwciciem"/>
        <w:ind w:firstLine="709"/>
        <w:rPr>
          <w:b/>
          <w:color w:val="000000" w:themeColor="text1"/>
        </w:rPr>
      </w:pPr>
      <w:r w:rsidRPr="007542D8">
        <w:rPr>
          <w:b/>
          <w:color w:val="000000" w:themeColor="text1"/>
        </w:rPr>
        <w:t xml:space="preserve">2. </w:t>
      </w:r>
      <w:proofErr w:type="spellStart"/>
      <w:r w:rsidRPr="007542D8">
        <w:rPr>
          <w:b/>
          <w:color w:val="000000" w:themeColor="text1"/>
        </w:rPr>
        <w:t>Antoniusa</w:t>
      </w:r>
      <w:proofErr w:type="spellEnd"/>
      <w:r w:rsidRPr="007542D8">
        <w:rPr>
          <w:b/>
          <w:color w:val="000000" w:themeColor="text1"/>
        </w:rPr>
        <w:t xml:space="preserve"> von </w:t>
      </w:r>
      <w:proofErr w:type="spellStart"/>
      <w:r w:rsidRPr="007542D8">
        <w:rPr>
          <w:b/>
          <w:color w:val="000000" w:themeColor="text1"/>
        </w:rPr>
        <w:t>Blankensee</w:t>
      </w:r>
      <w:proofErr w:type="spellEnd"/>
      <w:r w:rsidRPr="007542D8">
        <w:rPr>
          <w:b/>
          <w:color w:val="000000" w:themeColor="text1"/>
        </w:rPr>
        <w:t xml:space="preserve"> († 1608). (Płyta z wapienia, brak danych o jej treści ze względu na mocne starcie powierzchni. </w:t>
      </w:r>
      <w:proofErr w:type="spellStart"/>
      <w:r w:rsidRPr="007542D8">
        <w:rPr>
          <w:b/>
          <w:color w:val="000000" w:themeColor="text1"/>
        </w:rPr>
        <w:t>Antonius</w:t>
      </w:r>
      <w:proofErr w:type="spellEnd"/>
      <w:r w:rsidRPr="007542D8">
        <w:rPr>
          <w:b/>
          <w:color w:val="000000" w:themeColor="text1"/>
        </w:rPr>
        <w:t xml:space="preserve"> von </w:t>
      </w:r>
      <w:proofErr w:type="spellStart"/>
      <w:r w:rsidRPr="007542D8">
        <w:rPr>
          <w:b/>
          <w:color w:val="000000" w:themeColor="text1"/>
        </w:rPr>
        <w:t>Blankensee</w:t>
      </w:r>
      <w:proofErr w:type="spellEnd"/>
      <w:r w:rsidRPr="007542D8">
        <w:rPr>
          <w:b/>
          <w:color w:val="000000" w:themeColor="text1"/>
        </w:rPr>
        <w:t xml:space="preserve"> zmarł 12 sierpnia 1608 r.; </w:t>
      </w:r>
    </w:p>
    <w:p w:rsidR="008F2201" w:rsidRPr="007542D8" w:rsidRDefault="008F2201" w:rsidP="008F2201">
      <w:pPr>
        <w:pStyle w:val="Tekstpodstawowyzwciciem"/>
        <w:ind w:firstLine="0"/>
        <w:rPr>
          <w:b/>
          <w:color w:val="000000" w:themeColor="text1"/>
        </w:rPr>
      </w:pPr>
      <w:r w:rsidRPr="007542D8">
        <w:rPr>
          <w:b/>
          <w:color w:val="000000" w:themeColor="text1"/>
        </w:rPr>
        <w:t xml:space="preserve">-elementy późnośredniowiecznego ołtarza oraz ołtarz </w:t>
      </w:r>
      <w:proofErr w:type="spellStart"/>
      <w:r w:rsidRPr="007542D8">
        <w:rPr>
          <w:b/>
          <w:color w:val="000000" w:themeColor="text1"/>
        </w:rPr>
        <w:t>ambonowy</w:t>
      </w:r>
      <w:proofErr w:type="spellEnd"/>
      <w:r w:rsidRPr="007542D8">
        <w:rPr>
          <w:b/>
          <w:color w:val="000000" w:themeColor="text1"/>
        </w:rPr>
        <w:t xml:space="preserve"> z ok. 1730 r.;</w:t>
      </w:r>
    </w:p>
    <w:p w:rsidR="008F2201" w:rsidRPr="007542D8" w:rsidRDefault="008F2201" w:rsidP="008F2201">
      <w:pPr>
        <w:pStyle w:val="Tekstpodstawowyzwciciem"/>
        <w:ind w:firstLine="0"/>
        <w:rPr>
          <w:b/>
          <w:color w:val="000000" w:themeColor="text1"/>
        </w:rPr>
      </w:pPr>
      <w:r w:rsidRPr="007542D8">
        <w:rPr>
          <w:b/>
          <w:color w:val="000000" w:themeColor="text1"/>
        </w:rPr>
        <w:t xml:space="preserve">- pozostałe elementy wyposażenia: Anioł chrzcielny, drzwi z 1777 r., epitafia (z ok. 1717, 1740, 1744 r.), portret (olej na płótnie z pocz. XVIII w.), </w:t>
      </w:r>
      <w:proofErr w:type="spellStart"/>
      <w:r w:rsidRPr="007542D8">
        <w:rPr>
          <w:b/>
          <w:color w:val="000000" w:themeColor="text1"/>
        </w:rPr>
        <w:t>witrażyki</w:t>
      </w:r>
      <w:proofErr w:type="spellEnd"/>
      <w:r w:rsidRPr="007542D8">
        <w:rPr>
          <w:b/>
          <w:color w:val="000000" w:themeColor="text1"/>
        </w:rPr>
        <w:t xml:space="preserve"> z herbami (1608 r.), cyborium (miedź złocona z XIV/XV w., przechowywane w pałacu), monstrancja (miedź złocona z XV w.), kielich z pateną (srebro złocone XVI w. i 1732 r.), flasza (cyna), dzban na wino (cyna), dzban chrzcielny (cyna), kielich dla chorych (1600 r.), dwa lichtarze (1903 r.), płyty podłogowe granitowe (obecnie w kościele w </w:t>
      </w:r>
      <w:proofErr w:type="spellStart"/>
      <w:r w:rsidRPr="007542D8">
        <w:rPr>
          <w:b/>
          <w:color w:val="000000" w:themeColor="text1"/>
        </w:rPr>
        <w:t>Sądowie</w:t>
      </w:r>
      <w:proofErr w:type="spellEnd"/>
      <w:r w:rsidRPr="007542D8">
        <w:rPr>
          <w:b/>
          <w:color w:val="000000" w:themeColor="text1"/>
        </w:rPr>
        <w:t xml:space="preserve">).   </w:t>
      </w:r>
    </w:p>
    <w:p w:rsidR="008F2201" w:rsidRPr="007542D8" w:rsidRDefault="008F2201" w:rsidP="008F2201">
      <w:pPr>
        <w:rPr>
          <w:b/>
          <w:color w:val="000000" w:themeColor="text1"/>
        </w:rPr>
      </w:pPr>
      <w:r w:rsidRPr="007542D8">
        <w:rPr>
          <w:b/>
          <w:color w:val="000000" w:themeColor="text1"/>
        </w:rPr>
        <w:t xml:space="preserve">Kościół znajduje się obecnie w stanie trwałej ruiny z zachowanymi ścianami obwodowymi, szczytem wschodnim i wieżą (bez hełmu); Wzniesiony z dokładnie obrobionych kwadr granitowych (elewacje zewnętrzne od strony lica), ułożonych w 19 regularnych warstwach oraz z cegły. Ściany osadzone zostały na kamiennym fundamencie. Elewacje wewnętrzne (pierwotnie tynkowane) wykonano z kamieni nieobrobionych i ułamków skalnych wypełniających przestrzenie pomiędzy głazami. Całą świątynię obiega cokół o profilu wklęsłym, zachodzącym na </w:t>
      </w:r>
      <w:proofErr w:type="spellStart"/>
      <w:r w:rsidRPr="007542D8">
        <w:rPr>
          <w:b/>
          <w:color w:val="000000" w:themeColor="text1"/>
        </w:rPr>
        <w:t>ościeża</w:t>
      </w:r>
      <w:proofErr w:type="spellEnd"/>
      <w:r w:rsidRPr="007542D8">
        <w:rPr>
          <w:b/>
          <w:color w:val="000000" w:themeColor="text1"/>
        </w:rPr>
        <w:t xml:space="preserve"> portali. </w:t>
      </w:r>
    </w:p>
    <w:p w:rsidR="008F2201" w:rsidRPr="007542D8" w:rsidRDefault="008F2201" w:rsidP="008F2201">
      <w:pPr>
        <w:rPr>
          <w:b/>
          <w:color w:val="000000" w:themeColor="text1"/>
        </w:rPr>
      </w:pPr>
      <w:r w:rsidRPr="007542D8">
        <w:rPr>
          <w:b/>
          <w:color w:val="000000" w:themeColor="text1"/>
        </w:rPr>
        <w:t xml:space="preserve">Spośród portali wejściowych najbardziej okazałym jest główny portal w zachodniej elewacji podstawy wieży: </w:t>
      </w:r>
      <w:proofErr w:type="spellStart"/>
      <w:r w:rsidRPr="007542D8">
        <w:rPr>
          <w:b/>
          <w:color w:val="000000" w:themeColor="text1"/>
        </w:rPr>
        <w:t>trójuskokowy</w:t>
      </w:r>
      <w:proofErr w:type="spellEnd"/>
      <w:r w:rsidRPr="007542D8">
        <w:rPr>
          <w:b/>
          <w:color w:val="000000" w:themeColor="text1"/>
        </w:rPr>
        <w:t xml:space="preserve"> o ostrołukowym zamknięciu archiwolty. Wykonany z doskonale obrobionych i spasowanych kwadr i klińców granitowych. Wprowadzał on do przestrzennej kruchty, z której pod szeroko rozwartym łukiem pełnym, przechodziło się do wnętrza świątyni. Od wewnątrz kruchty wieżowej otwór wejściowy posiada prosto opracowane ościeże, zamknięte łukiem odcinkowym. Forma i rozmiar tego portalu wskazują, że tędy biegło główne wejście do świątyni. W elewacji południowej podstawy wieży znajduje się dodatkowy portal o prostych i wąskich ościeżach zamkniętych ostrołukiem. Stanowił on wejście na ciąg stromych schodów wykonanych w grubości muru, wiodących na górne kondygnacje wieży i poddasze nawy.</w:t>
      </w:r>
    </w:p>
    <w:p w:rsidR="008F2201" w:rsidRPr="007542D8" w:rsidRDefault="008F2201" w:rsidP="008F2201">
      <w:pPr>
        <w:rPr>
          <w:b/>
          <w:color w:val="000000" w:themeColor="text1"/>
        </w:rPr>
      </w:pPr>
      <w:r w:rsidRPr="007542D8">
        <w:rPr>
          <w:b/>
          <w:color w:val="000000" w:themeColor="text1"/>
        </w:rPr>
        <w:t xml:space="preserve">Pośrodku ściany południowej znajduje się </w:t>
      </w:r>
      <w:proofErr w:type="spellStart"/>
      <w:r w:rsidRPr="007542D8">
        <w:rPr>
          <w:b/>
          <w:color w:val="000000" w:themeColor="text1"/>
        </w:rPr>
        <w:t>dwuuskokowy</w:t>
      </w:r>
      <w:proofErr w:type="spellEnd"/>
      <w:r w:rsidRPr="007542D8">
        <w:rPr>
          <w:b/>
          <w:color w:val="000000" w:themeColor="text1"/>
        </w:rPr>
        <w:t xml:space="preserve"> portal, którego ościeże zamknięte jest archiwoltą o delikatnym łuku ostrym z elementem zwornikowym. Także i w tym przypadku uderza niemal perfekcyjny sposób obróbki kamienia. Od strony nawy wejście posiada ościeże proste, zamknięte łukiem odcinkowym. W ościeży tego portalu </w:t>
      </w:r>
      <w:r w:rsidRPr="007542D8">
        <w:rPr>
          <w:b/>
          <w:color w:val="000000" w:themeColor="text1"/>
        </w:rPr>
        <w:lastRenderedPageBreak/>
        <w:t xml:space="preserve">znajdują się kwadratowe otwory wykonane w grubości ściany.  Umieszczona w nich była belka ryglującą drzwi. Po przeciwnej stronie w elewacji północnej znajduje się jeszcze jeden portal: </w:t>
      </w:r>
      <w:proofErr w:type="spellStart"/>
      <w:r w:rsidRPr="007542D8">
        <w:rPr>
          <w:b/>
          <w:color w:val="000000" w:themeColor="text1"/>
        </w:rPr>
        <w:t>jednouskokowy</w:t>
      </w:r>
      <w:proofErr w:type="spellEnd"/>
      <w:r w:rsidRPr="007542D8">
        <w:rPr>
          <w:b/>
          <w:color w:val="000000" w:themeColor="text1"/>
        </w:rPr>
        <w:t xml:space="preserve">, zamknięty ostrołukowo, o znacznie gorszej technice obróbki kamienia. Być może został wykonany wtórnie. Zagadkowo przedstawiają się dwa naprzeciwległe otwory wykonane w ścianach północnej i południowej. Swoją formą przypominają przemurowane okna. Ich wykrój posiada obniżony (w stosunku do pozostałych otworów) łuk zamknięcia i znacznie wydłużone </w:t>
      </w:r>
      <w:proofErr w:type="spellStart"/>
      <w:r w:rsidRPr="007542D8">
        <w:rPr>
          <w:b/>
          <w:color w:val="000000" w:themeColor="text1"/>
        </w:rPr>
        <w:t>ościeża</w:t>
      </w:r>
      <w:proofErr w:type="spellEnd"/>
      <w:r w:rsidRPr="007542D8">
        <w:rPr>
          <w:b/>
          <w:color w:val="000000" w:themeColor="text1"/>
        </w:rPr>
        <w:t xml:space="preserve">, sięgające niemal poziomu posadzki. Można się w nich dopatrywać raczej portali (wtórnych?), np. wejście na chór, lożę kolatorską, czy przejście z zakrystii. (Pozostałości późnośredniowiecznej zakrystii widoczne są po północnej stronie kościoła). Po wewnętrznej stronie ściany wschodniej, w jej płd. Części, widnieje prostokątna nisza o wym. 0,84x0,55x0,70 m po byłym </w:t>
      </w:r>
      <w:proofErr w:type="spellStart"/>
      <w:r w:rsidRPr="007542D8">
        <w:rPr>
          <w:b/>
          <w:color w:val="000000" w:themeColor="text1"/>
        </w:rPr>
        <w:t>sakramentarium</w:t>
      </w:r>
      <w:proofErr w:type="spellEnd"/>
      <w:r w:rsidRPr="007542D8">
        <w:rPr>
          <w:b/>
          <w:color w:val="000000" w:themeColor="text1"/>
        </w:rPr>
        <w:t>.</w:t>
      </w:r>
    </w:p>
    <w:p w:rsidR="008F2201" w:rsidRPr="007542D8" w:rsidRDefault="008F2201" w:rsidP="008F2201">
      <w:pPr>
        <w:rPr>
          <w:b/>
          <w:color w:val="000000" w:themeColor="text1"/>
        </w:rPr>
      </w:pPr>
      <w:r w:rsidRPr="007542D8">
        <w:rPr>
          <w:b/>
          <w:color w:val="000000" w:themeColor="text1"/>
        </w:rPr>
        <w:t xml:space="preserve">Obecnie trudna do ustalenia jest także pierwotna liczba i rozmieszczenie otworów okiennych, gdyż zostały one przemurowane w okresie baroku - znacznie poszerzono ich </w:t>
      </w:r>
      <w:proofErr w:type="spellStart"/>
      <w:r w:rsidRPr="007542D8">
        <w:rPr>
          <w:b/>
          <w:color w:val="000000" w:themeColor="text1"/>
        </w:rPr>
        <w:t>ościeża</w:t>
      </w:r>
      <w:proofErr w:type="spellEnd"/>
      <w:r w:rsidRPr="007542D8">
        <w:rPr>
          <w:b/>
          <w:color w:val="000000" w:themeColor="text1"/>
        </w:rPr>
        <w:t xml:space="preserve">, zachowując rozglifienie i skos parapetu. Opracowano je w cegle i zamknięto łukiem koszowym. Relikt pierwotnego okna zachował się jedynie pośrodku elewacji wschodniej (obecnie zamurowane, ale wyraźnie widoczne). Cała elewacja wschodnia posiada bardzo bogate opracowanie. Znajdowały się w niej trzy okna o takim samym wykroju; wąskie z </w:t>
      </w:r>
      <w:proofErr w:type="spellStart"/>
      <w:r w:rsidRPr="007542D8">
        <w:rPr>
          <w:b/>
          <w:color w:val="000000" w:themeColor="text1"/>
        </w:rPr>
        <w:t>rozglifionymi</w:t>
      </w:r>
      <w:proofErr w:type="spellEnd"/>
      <w:r w:rsidRPr="007542D8">
        <w:rPr>
          <w:b/>
          <w:color w:val="000000" w:themeColor="text1"/>
        </w:rPr>
        <w:t xml:space="preserve"> </w:t>
      </w:r>
      <w:proofErr w:type="spellStart"/>
      <w:r w:rsidRPr="007542D8">
        <w:rPr>
          <w:b/>
          <w:color w:val="000000" w:themeColor="text1"/>
        </w:rPr>
        <w:t>ościeżai</w:t>
      </w:r>
      <w:proofErr w:type="spellEnd"/>
      <w:r w:rsidRPr="007542D8">
        <w:rPr>
          <w:b/>
          <w:color w:val="000000" w:themeColor="text1"/>
        </w:rPr>
        <w:t xml:space="preserve">, wykonane z dokładnie obrobionych kwadr i klińców granitowych, zamknięte łagodnym łukiem ostrym i z ukośnymi parapetami. Dwa skrajne okna zostały utracone w wyniku późniejszej przebudowy (o trzecim, środkowym wspomniano już wyżej). Podobny wykrój posiadają cztery ostrołukowe blendy zdobiące szczyt. Opracowane zostały w cegle, a ich piramidalny układ rozczłonkowany jest kompozycją złożoną z opisanego już okna, dwuskokowego </w:t>
      </w:r>
      <w:proofErr w:type="spellStart"/>
      <w:r w:rsidRPr="007542D8">
        <w:rPr>
          <w:b/>
          <w:i/>
          <w:color w:val="000000" w:themeColor="text1"/>
        </w:rPr>
        <w:t>oculusa</w:t>
      </w:r>
      <w:proofErr w:type="spellEnd"/>
      <w:r w:rsidRPr="007542D8">
        <w:rPr>
          <w:b/>
          <w:color w:val="000000" w:themeColor="text1"/>
        </w:rPr>
        <w:t xml:space="preserve"> i wnęki w kształcie krzyża łacińskiego. </w:t>
      </w:r>
    </w:p>
    <w:p w:rsidR="008F2201" w:rsidRPr="007542D8" w:rsidRDefault="008F2201" w:rsidP="008F2201">
      <w:pPr>
        <w:rPr>
          <w:b/>
          <w:color w:val="000000" w:themeColor="text1"/>
        </w:rPr>
      </w:pPr>
      <w:r w:rsidRPr="007542D8">
        <w:rPr>
          <w:b/>
          <w:color w:val="000000" w:themeColor="text1"/>
        </w:rPr>
        <w:t xml:space="preserve">Wnętrze nawy zamknięte było drewnianym stropem belkowanym i przykryte dwuspadowym dachem. </w:t>
      </w:r>
    </w:p>
    <w:p w:rsidR="008F2201" w:rsidRPr="007542D8" w:rsidRDefault="008F2201" w:rsidP="008F2201">
      <w:pPr>
        <w:rPr>
          <w:b/>
          <w:color w:val="000000" w:themeColor="text1"/>
        </w:rPr>
      </w:pPr>
      <w:r w:rsidRPr="007542D8">
        <w:rPr>
          <w:b/>
          <w:color w:val="000000" w:themeColor="text1"/>
        </w:rPr>
        <w:t xml:space="preserve">Wieża zachodnia stanowi integralną część całej budowli, o czym świadczy taka sama szerokość, jednolity wątek murów, jak i obiegający całość profilowany cokół. Podstawa o planie prostokąta równa wysokością nawie oraz wymurowana w ten sam sposób i z tego samego materiału. Wyższe partie wieży (tzw. nadbudowa) prawdopodobnie wzniesione zostały w późniejszym czasie i zastąpiły pierwotną konstrukcję szkieletową. Mają plan kwadratu i wymurowane zostały z nieobrobionych otoczaków, przy znacznym udziale materiału ceramicznego. Taką kolejność sugeruje zachowana elewacja szczytowa wieży, dekorowana ostrołukowymi blendami rozdzielonymi </w:t>
      </w:r>
      <w:proofErr w:type="spellStart"/>
      <w:r w:rsidRPr="007542D8">
        <w:rPr>
          <w:b/>
          <w:i/>
          <w:color w:val="000000" w:themeColor="text1"/>
        </w:rPr>
        <w:t>oculusem</w:t>
      </w:r>
      <w:proofErr w:type="spellEnd"/>
      <w:r w:rsidRPr="007542D8">
        <w:rPr>
          <w:b/>
          <w:color w:val="000000" w:themeColor="text1"/>
        </w:rPr>
        <w:t xml:space="preserve">, co do złudzenia przypomina rozwiązanie wschodniego szczytu. Podziały kondygnacyjne wyznaczały belkowane stropy, osadzone bezpośrednio w murze. Pozostałością po nich są kwadratowe otwory rozmieszczone po obwodzie ścian. Ramiona podstawy wieży nakryte były dachami pulpitowymi, tworzącymi z dachem korpusu nawowego jednolitą połać. Wieża zwieńczona była ostrosłupowym hełmem. </w:t>
      </w:r>
    </w:p>
    <w:p w:rsidR="008F2201" w:rsidRPr="007542D8" w:rsidRDefault="008F2201" w:rsidP="008F2201">
      <w:pPr>
        <w:rPr>
          <w:b/>
          <w:color w:val="000000" w:themeColor="text1"/>
        </w:rPr>
      </w:pPr>
      <w:r w:rsidRPr="007542D8">
        <w:rPr>
          <w:b/>
          <w:color w:val="000000" w:themeColor="text1"/>
        </w:rPr>
        <w:t>Wieża zbudowana została z bardzo grubych murów. Po solidnym zaryglowaniu otworów, mogła służyć jako schronienie dla ludzi w czasie zagrożenia zewnętrznego. Natomiast brak otworów strzelniczych wyklucza jej charakter obronny.</w:t>
      </w:r>
    </w:p>
    <w:p w:rsidR="008F2201" w:rsidRPr="007542D8" w:rsidRDefault="008F2201" w:rsidP="008F2201">
      <w:pPr>
        <w:rPr>
          <w:b/>
          <w:color w:val="000000" w:themeColor="text1"/>
        </w:rPr>
      </w:pPr>
    </w:p>
    <w:p w:rsidR="008F2201" w:rsidRPr="007542D8" w:rsidRDefault="008F2201" w:rsidP="008F2201">
      <w:pPr>
        <w:rPr>
          <w:b/>
          <w:color w:val="000000" w:themeColor="text1"/>
          <w:sz w:val="18"/>
          <w:szCs w:val="18"/>
        </w:rPr>
      </w:pPr>
      <w:r w:rsidRPr="007542D8">
        <w:rPr>
          <w:b/>
          <w:color w:val="000000" w:themeColor="text1"/>
          <w:sz w:val="18"/>
          <w:szCs w:val="18"/>
        </w:rPr>
        <w:t xml:space="preserve">Opracował: Janusz </w:t>
      </w:r>
      <w:proofErr w:type="spellStart"/>
      <w:r w:rsidRPr="007542D8">
        <w:rPr>
          <w:b/>
          <w:color w:val="000000" w:themeColor="text1"/>
          <w:sz w:val="18"/>
          <w:szCs w:val="18"/>
        </w:rPr>
        <w:t>Gajowniczek</w:t>
      </w:r>
      <w:proofErr w:type="spellEnd"/>
    </w:p>
    <w:p w:rsidR="008F2201" w:rsidRPr="007542D8" w:rsidRDefault="008F2201" w:rsidP="008F2201">
      <w:pPr>
        <w:rPr>
          <w:b/>
          <w:color w:val="000000" w:themeColor="text1"/>
          <w:sz w:val="18"/>
          <w:szCs w:val="18"/>
        </w:rPr>
      </w:pPr>
      <w:r w:rsidRPr="007542D8">
        <w:rPr>
          <w:b/>
          <w:color w:val="000000" w:themeColor="text1"/>
          <w:sz w:val="18"/>
          <w:szCs w:val="18"/>
        </w:rPr>
        <w:t>(Wyrażam zgodę na publikowanie powyższego tekstu).</w:t>
      </w:r>
    </w:p>
    <w:p w:rsidR="00453F2C" w:rsidRPr="007542D8" w:rsidRDefault="00453F2C">
      <w:pPr>
        <w:rPr>
          <w:b/>
        </w:rPr>
      </w:pPr>
    </w:p>
    <w:sectPr w:rsidR="00453F2C" w:rsidRPr="007542D8" w:rsidSect="00453F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/>
  <w:defaultTabStop w:val="708"/>
  <w:hyphenationZone w:val="425"/>
  <w:characterSpacingControl w:val="doNotCompress"/>
  <w:compat/>
  <w:rsids>
    <w:rsidRoot w:val="008F2201"/>
    <w:rsid w:val="0030344E"/>
    <w:rsid w:val="00453F2C"/>
    <w:rsid w:val="00655732"/>
    <w:rsid w:val="007542D8"/>
    <w:rsid w:val="008F2201"/>
    <w:rsid w:val="00EF2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201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2890"/>
    <w:pPr>
      <w:keepNext/>
      <w:spacing w:before="240" w:after="60"/>
      <w:ind w:firstLine="0"/>
      <w:jc w:val="left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F2890"/>
    <w:pPr>
      <w:keepNext/>
      <w:spacing w:before="240" w:after="60"/>
      <w:ind w:firstLine="0"/>
      <w:jc w:val="left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F2890"/>
    <w:pPr>
      <w:keepNext/>
      <w:spacing w:before="240" w:after="60"/>
      <w:ind w:firstLine="0"/>
      <w:jc w:val="left"/>
      <w:outlineLvl w:val="2"/>
    </w:pPr>
    <w:rPr>
      <w:rFonts w:asciiTheme="majorHAnsi" w:eastAsiaTheme="majorEastAsia" w:hAnsiTheme="majorHAnsi"/>
      <w:b/>
      <w:b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2890"/>
    <w:pPr>
      <w:keepNext/>
      <w:spacing w:before="240" w:after="60"/>
      <w:ind w:firstLine="0"/>
      <w:jc w:val="left"/>
      <w:outlineLvl w:val="3"/>
    </w:pPr>
    <w:rPr>
      <w:rFonts w:asciiTheme="minorHAnsi" w:eastAsiaTheme="minorHAnsi" w:hAnsiTheme="minorHAnsi"/>
      <w:b/>
      <w:bCs/>
      <w:sz w:val="28"/>
      <w:szCs w:val="28"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F2890"/>
    <w:pPr>
      <w:spacing w:before="240" w:after="60"/>
      <w:ind w:firstLine="0"/>
      <w:jc w:val="left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F2890"/>
    <w:pPr>
      <w:spacing w:before="240" w:after="60"/>
      <w:ind w:firstLine="0"/>
      <w:jc w:val="left"/>
      <w:outlineLvl w:val="5"/>
    </w:pPr>
    <w:rPr>
      <w:rFonts w:asciiTheme="minorHAnsi" w:eastAsiaTheme="minorHAnsi" w:hAnsiTheme="minorHAnsi"/>
      <w:b/>
      <w:b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F2890"/>
    <w:pPr>
      <w:spacing w:before="240" w:after="60"/>
      <w:ind w:firstLine="0"/>
      <w:jc w:val="left"/>
      <w:outlineLvl w:val="6"/>
    </w:pPr>
    <w:rPr>
      <w:rFonts w:asciiTheme="minorHAnsi" w:eastAsiaTheme="minorHAnsi" w:hAnsiTheme="minorHAnsi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F2890"/>
    <w:pPr>
      <w:spacing w:before="240" w:after="60"/>
      <w:ind w:firstLine="0"/>
      <w:jc w:val="left"/>
      <w:outlineLvl w:val="7"/>
    </w:pPr>
    <w:rPr>
      <w:rFonts w:asciiTheme="minorHAnsi" w:eastAsiaTheme="minorHAnsi" w:hAnsiTheme="minorHAnsi"/>
      <w:i/>
      <w:iCs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F2890"/>
    <w:pPr>
      <w:spacing w:before="240" w:after="60"/>
      <w:ind w:firstLine="0"/>
      <w:jc w:val="left"/>
      <w:outlineLvl w:val="8"/>
    </w:pPr>
    <w:rPr>
      <w:rFonts w:asciiTheme="majorHAnsi" w:eastAsiaTheme="majorEastAsia" w:hAnsiTheme="majorHAnsi"/>
      <w:sz w:val="22"/>
      <w:szCs w:val="22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F289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F289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F289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EF2890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F2890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F2890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F2890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F2890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F2890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EF2890"/>
    <w:pPr>
      <w:spacing w:before="240" w:after="60"/>
      <w:ind w:firstLine="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EF289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F2890"/>
    <w:pPr>
      <w:spacing w:after="60"/>
      <w:ind w:firstLine="0"/>
      <w:jc w:val="center"/>
      <w:outlineLvl w:val="1"/>
    </w:pPr>
    <w:rPr>
      <w:rFonts w:asciiTheme="majorHAnsi" w:eastAsiaTheme="majorEastAsia" w:hAnsiTheme="majorHAnsi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EF2890"/>
    <w:rPr>
      <w:rFonts w:asciiTheme="majorHAnsi" w:eastAsiaTheme="majorEastAsia" w:hAnsiTheme="majorHAns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F2890"/>
    <w:rPr>
      <w:b/>
      <w:bCs/>
    </w:rPr>
  </w:style>
  <w:style w:type="character" w:styleId="Uwydatnienie">
    <w:name w:val="Emphasis"/>
    <w:basedOn w:val="Domylnaczcionkaakapitu"/>
    <w:uiPriority w:val="20"/>
    <w:qFormat/>
    <w:rsid w:val="00EF2890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EF2890"/>
    <w:pPr>
      <w:ind w:firstLine="0"/>
      <w:jc w:val="left"/>
    </w:pPr>
    <w:rPr>
      <w:rFonts w:asciiTheme="minorHAnsi" w:eastAsiaTheme="minorHAnsi" w:hAnsiTheme="minorHAnsi"/>
      <w:szCs w:val="3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EF2890"/>
    <w:pPr>
      <w:ind w:left="720" w:firstLine="0"/>
      <w:contextualSpacing/>
      <w:jc w:val="left"/>
    </w:pPr>
    <w:rPr>
      <w:rFonts w:asciiTheme="minorHAnsi" w:eastAsiaTheme="minorHAnsi" w:hAnsiTheme="minorHAnsi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EF2890"/>
    <w:pPr>
      <w:ind w:firstLine="0"/>
      <w:jc w:val="left"/>
    </w:pPr>
    <w:rPr>
      <w:rFonts w:asciiTheme="minorHAnsi" w:eastAsiaTheme="minorHAnsi" w:hAnsiTheme="minorHAnsi"/>
      <w:i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EF2890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F2890"/>
    <w:pPr>
      <w:ind w:left="720" w:right="720" w:firstLine="0"/>
      <w:jc w:val="left"/>
    </w:pPr>
    <w:rPr>
      <w:rFonts w:asciiTheme="minorHAnsi" w:eastAsiaTheme="minorHAnsi" w:hAnsiTheme="minorHAnsi"/>
      <w:b/>
      <w:i/>
      <w:szCs w:val="22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F2890"/>
    <w:rPr>
      <w:b/>
      <w:i/>
      <w:sz w:val="24"/>
    </w:rPr>
  </w:style>
  <w:style w:type="character" w:styleId="Wyrnieniedelikatne">
    <w:name w:val="Subtle Emphasis"/>
    <w:uiPriority w:val="19"/>
    <w:qFormat/>
    <w:rsid w:val="00EF2890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EF2890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EF2890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EF2890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EF2890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F2890"/>
    <w:pPr>
      <w:outlineLvl w:val="9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F220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F2201"/>
    <w:rPr>
      <w:rFonts w:ascii="Times New Roman" w:eastAsia="Times New Roman" w:hAnsi="Times New Roman"/>
      <w:sz w:val="24"/>
      <w:szCs w:val="24"/>
      <w:lang w:val="pl-PL" w:eastAsia="pl-PL" w:bidi="ar-SA"/>
    </w:rPr>
  </w:style>
  <w:style w:type="paragraph" w:styleId="Tekstpodstawowyzwciciem">
    <w:name w:val="Body Text First Indent"/>
    <w:basedOn w:val="Tekstpodstawowy"/>
    <w:link w:val="TekstpodstawowyzwciciemZnak"/>
    <w:semiHidden/>
    <w:unhideWhenUsed/>
    <w:rsid w:val="008F2201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semiHidden/>
    <w:rsid w:val="008F22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5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1000</Words>
  <Characters>6002</Characters>
  <Application>Microsoft Office Word</Application>
  <DocSecurity>0</DocSecurity>
  <Lines>50</Lines>
  <Paragraphs>13</Paragraphs>
  <ScaleCrop>false</ScaleCrop>
  <Company/>
  <LinksUpToDate>false</LinksUpToDate>
  <CharactersWithSpaces>6989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Tata</cp:lastModifiedBy>
  <cp:revision>4</cp:revision>
  <dcterms:created xsi:type="dcterms:W3CDTF">2013-12-10T16:07:00Z</dcterms:created>
  <dcterms:modified xsi:type="dcterms:W3CDTF">2013-12-10T16:12:00Z</dcterms:modified>
</cp:coreProperties>
</file>